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0FCE" w14:textId="77777777" w:rsidR="00FD64CA" w:rsidRDefault="003C759D">
      <w:pPr>
        <w:pStyle w:val="Title"/>
        <w:spacing w:line="362" w:lineRule="auto"/>
      </w:pPr>
      <w:r>
        <w:t>Taxpayers’ Rights and Responsibilities Ohio</w:t>
      </w:r>
      <w:r>
        <w:rPr>
          <w:spacing w:val="-11"/>
        </w:rPr>
        <w:t xml:space="preserve"> </w:t>
      </w:r>
      <w:r>
        <w:t>Revised</w:t>
      </w:r>
      <w:r>
        <w:rPr>
          <w:spacing w:val="-11"/>
        </w:rPr>
        <w:t xml:space="preserve"> </w:t>
      </w:r>
      <w:r>
        <w:t>Code</w:t>
      </w:r>
      <w:r>
        <w:rPr>
          <w:spacing w:val="-11"/>
        </w:rPr>
        <w:t xml:space="preserve"> </w:t>
      </w:r>
      <w:r>
        <w:t>Section</w:t>
      </w:r>
      <w:r>
        <w:rPr>
          <w:spacing w:val="-12"/>
        </w:rPr>
        <w:t xml:space="preserve"> </w:t>
      </w:r>
      <w:r>
        <w:t>718.01(QQ)</w:t>
      </w:r>
    </w:p>
    <w:p w14:paraId="680D3D81" w14:textId="77777777" w:rsidR="00FD64CA" w:rsidRDefault="00FD64CA">
      <w:pPr>
        <w:pStyle w:val="BodyText"/>
        <w:ind w:left="0" w:right="0" w:firstLine="0"/>
        <w:jc w:val="left"/>
        <w:rPr>
          <w:b/>
          <w:sz w:val="32"/>
        </w:rPr>
      </w:pPr>
    </w:p>
    <w:p w14:paraId="5EFD7EBD" w14:textId="77777777" w:rsidR="00FD64CA" w:rsidRDefault="003C759D">
      <w:pPr>
        <w:pStyle w:val="BodyText"/>
        <w:spacing w:before="201"/>
        <w:ind w:left="100" w:firstLine="0"/>
      </w:pPr>
      <w:r>
        <w:t>“Taxpayers’ rights and responsibilities” means the rights provided to taxpayers in Ohio</w:t>
      </w:r>
      <w:r>
        <w:rPr>
          <w:spacing w:val="-4"/>
        </w:rPr>
        <w:t xml:space="preserve"> </w:t>
      </w:r>
      <w:r>
        <w:t>Revised</w:t>
      </w:r>
      <w:r>
        <w:rPr>
          <w:spacing w:val="-4"/>
        </w:rPr>
        <w:t xml:space="preserve"> </w:t>
      </w:r>
      <w:r>
        <w:t>Code</w:t>
      </w:r>
      <w:r>
        <w:rPr>
          <w:spacing w:val="-3"/>
        </w:rPr>
        <w:t xml:space="preserve"> </w:t>
      </w:r>
      <w:r>
        <w:t>(ORC)</w:t>
      </w:r>
      <w:r>
        <w:rPr>
          <w:spacing w:val="-3"/>
        </w:rPr>
        <w:t xml:space="preserve"> </w:t>
      </w:r>
      <w:r>
        <w:t>Sections</w:t>
      </w:r>
      <w:r>
        <w:rPr>
          <w:spacing w:val="-3"/>
        </w:rPr>
        <w:t xml:space="preserve"> </w:t>
      </w:r>
      <w:r>
        <w:t>718.11,</w:t>
      </w:r>
      <w:r>
        <w:rPr>
          <w:spacing w:val="-4"/>
        </w:rPr>
        <w:t xml:space="preserve"> </w:t>
      </w:r>
      <w:r>
        <w:t>718.12,</w:t>
      </w:r>
      <w:r>
        <w:rPr>
          <w:spacing w:val="-4"/>
        </w:rPr>
        <w:t xml:space="preserve"> </w:t>
      </w:r>
      <w:r>
        <w:t>718.19,</w:t>
      </w:r>
      <w:r>
        <w:rPr>
          <w:spacing w:val="-4"/>
        </w:rPr>
        <w:t xml:space="preserve"> </w:t>
      </w:r>
      <w:r>
        <w:t>718.23,</w:t>
      </w:r>
      <w:r>
        <w:rPr>
          <w:spacing w:val="-4"/>
        </w:rPr>
        <w:t xml:space="preserve"> </w:t>
      </w:r>
      <w:r>
        <w:t>718.36,</w:t>
      </w:r>
      <w:r>
        <w:rPr>
          <w:spacing w:val="-3"/>
        </w:rPr>
        <w:t xml:space="preserve"> </w:t>
      </w:r>
      <w:r>
        <w:rPr>
          <w:spacing w:val="-2"/>
        </w:rPr>
        <w:t>718.37,</w:t>
      </w:r>
    </w:p>
    <w:p w14:paraId="3DF402AF" w14:textId="043FB13B" w:rsidR="00FD64CA" w:rsidRDefault="003C759D">
      <w:pPr>
        <w:pStyle w:val="BodyText"/>
        <w:ind w:left="100" w:right="114" w:firstLine="0"/>
      </w:pPr>
      <w:r>
        <w:t>718.38, 5717.011 and 5717.03 and the responsibilities of taxpayers to file, report, withhold/remit and</w:t>
      </w:r>
      <w:r>
        <w:rPr>
          <w:spacing w:val="-1"/>
        </w:rPr>
        <w:t xml:space="preserve"> </w:t>
      </w:r>
      <w:r>
        <w:t>pay municipal income tax and</w:t>
      </w:r>
      <w:r>
        <w:rPr>
          <w:spacing w:val="-1"/>
        </w:rPr>
        <w:t xml:space="preserve"> </w:t>
      </w:r>
      <w:r>
        <w:t>otherwise comply with</w:t>
      </w:r>
      <w:r>
        <w:rPr>
          <w:spacing w:val="-1"/>
        </w:rPr>
        <w:t xml:space="preserve"> </w:t>
      </w:r>
      <w:r>
        <w:t>Chapter 718</w:t>
      </w:r>
      <w:r>
        <w:rPr>
          <w:spacing w:val="-4"/>
        </w:rPr>
        <w:t xml:space="preserve"> </w:t>
      </w:r>
      <w:r>
        <w:t>of</w:t>
      </w:r>
      <w:r>
        <w:rPr>
          <w:spacing w:val="-2"/>
        </w:rPr>
        <w:t xml:space="preserve"> </w:t>
      </w:r>
      <w:r>
        <w:t>the</w:t>
      </w:r>
      <w:r>
        <w:rPr>
          <w:spacing w:val="-4"/>
        </w:rPr>
        <w:t xml:space="preserve"> </w:t>
      </w:r>
      <w:r>
        <w:t>ORC</w:t>
      </w:r>
      <w:r>
        <w:rPr>
          <w:spacing w:val="-4"/>
        </w:rPr>
        <w:t xml:space="preserve"> </w:t>
      </w:r>
      <w:r>
        <w:t>and</w:t>
      </w:r>
      <w:r>
        <w:rPr>
          <w:spacing w:val="-5"/>
        </w:rPr>
        <w:t xml:space="preserve"> </w:t>
      </w:r>
      <w:r>
        <w:t>the</w:t>
      </w:r>
      <w:r>
        <w:rPr>
          <w:spacing w:val="-4"/>
        </w:rPr>
        <w:t xml:space="preserve"> </w:t>
      </w:r>
      <w:r w:rsidR="008F0AB5">
        <w:t>Village of Jefferson</w:t>
      </w:r>
      <w:r>
        <w:rPr>
          <w:spacing w:val="-4"/>
        </w:rPr>
        <w:t xml:space="preserve"> </w:t>
      </w:r>
      <w:r>
        <w:t>Municipal</w:t>
      </w:r>
      <w:r>
        <w:rPr>
          <w:spacing w:val="-3"/>
        </w:rPr>
        <w:t xml:space="preserve"> </w:t>
      </w:r>
      <w:r>
        <w:t>Income</w:t>
      </w:r>
      <w:r>
        <w:rPr>
          <w:spacing w:val="-4"/>
        </w:rPr>
        <w:t xml:space="preserve"> </w:t>
      </w:r>
      <w:r>
        <w:t>Tax</w:t>
      </w:r>
      <w:r>
        <w:rPr>
          <w:spacing w:val="-3"/>
        </w:rPr>
        <w:t xml:space="preserve"> </w:t>
      </w:r>
      <w:r>
        <w:t>Ordinance</w:t>
      </w:r>
      <w:r>
        <w:rPr>
          <w:spacing w:val="-4"/>
        </w:rPr>
        <w:t xml:space="preserve"> </w:t>
      </w:r>
      <w:r>
        <w:t xml:space="preserve">including any Rules and Regulations adopted by the </w:t>
      </w:r>
      <w:r w:rsidR="008F0AB5">
        <w:t>Village</w:t>
      </w:r>
      <w:r>
        <w:t xml:space="preserve"> of </w:t>
      </w:r>
      <w:r w:rsidR="008F0AB5">
        <w:t>Jefferson</w:t>
      </w:r>
      <w:r>
        <w:t xml:space="preserve"> for the imposition and administration of the municipal income tax.</w:t>
      </w:r>
      <w:r>
        <w:rPr>
          <w:spacing w:val="40"/>
        </w:rPr>
        <w:t xml:space="preserve"> </w:t>
      </w:r>
      <w:r>
        <w:t>Rights and responsibilities include, but are not limited, to the following:</w:t>
      </w:r>
    </w:p>
    <w:p w14:paraId="5517CE3D" w14:textId="24885F84" w:rsidR="00FD64CA" w:rsidRDefault="003C759D">
      <w:pPr>
        <w:pStyle w:val="ListParagraph"/>
        <w:numPr>
          <w:ilvl w:val="0"/>
          <w:numId w:val="1"/>
        </w:numPr>
        <w:tabs>
          <w:tab w:val="left" w:pos="821"/>
        </w:tabs>
        <w:spacing w:before="201"/>
        <w:ind w:right="118"/>
        <w:rPr>
          <w:sz w:val="28"/>
        </w:rPr>
      </w:pPr>
      <w:r>
        <w:rPr>
          <w:sz w:val="28"/>
        </w:rPr>
        <w:t xml:space="preserve">The </w:t>
      </w:r>
      <w:r w:rsidR="008F0AB5">
        <w:rPr>
          <w:sz w:val="28"/>
        </w:rPr>
        <w:t>Village of Jefferson</w:t>
      </w:r>
      <w:r>
        <w:rPr>
          <w:sz w:val="28"/>
        </w:rPr>
        <w:t xml:space="preserve"> shall maintain a local board of tax review to hear appeals of the </w:t>
      </w:r>
      <w:proofErr w:type="gramStart"/>
      <w:r>
        <w:rPr>
          <w:sz w:val="28"/>
        </w:rPr>
        <w:t>taxpayer;</w:t>
      </w:r>
      <w:proofErr w:type="gramEnd"/>
    </w:p>
    <w:p w14:paraId="0D4FCBC3" w14:textId="77777777" w:rsidR="00FD64CA" w:rsidRDefault="003C759D">
      <w:pPr>
        <w:pStyle w:val="ListParagraph"/>
        <w:numPr>
          <w:ilvl w:val="0"/>
          <w:numId w:val="1"/>
        </w:numPr>
        <w:tabs>
          <w:tab w:val="left" w:pos="821"/>
        </w:tabs>
        <w:rPr>
          <w:sz w:val="28"/>
        </w:rPr>
      </w:pPr>
      <w:r>
        <w:rPr>
          <w:sz w:val="28"/>
        </w:rPr>
        <w:t xml:space="preserve">Civil actions to recover municipal income taxes, penalties and interest shall commence within the time limitations noted in ORC Section </w:t>
      </w:r>
      <w:proofErr w:type="gramStart"/>
      <w:r>
        <w:rPr>
          <w:sz w:val="28"/>
        </w:rPr>
        <w:t>718.12;</w:t>
      </w:r>
      <w:proofErr w:type="gramEnd"/>
    </w:p>
    <w:p w14:paraId="4948A3E6" w14:textId="3D4FA0FA" w:rsidR="00FD64CA" w:rsidRDefault="003C759D">
      <w:pPr>
        <w:pStyle w:val="ListParagraph"/>
        <w:numPr>
          <w:ilvl w:val="0"/>
          <w:numId w:val="1"/>
        </w:numPr>
        <w:tabs>
          <w:tab w:val="left" w:pos="821"/>
        </w:tabs>
        <w:ind w:right="115"/>
        <w:rPr>
          <w:sz w:val="28"/>
        </w:rPr>
      </w:pPr>
      <w:r>
        <w:rPr>
          <w:sz w:val="28"/>
        </w:rPr>
        <w:t xml:space="preserve">Taxpayer has a prescribed manner to request refunds from the </w:t>
      </w:r>
      <w:r w:rsidR="00D70DA1">
        <w:rPr>
          <w:sz w:val="28"/>
        </w:rPr>
        <w:t>Village</w:t>
      </w:r>
      <w:r>
        <w:rPr>
          <w:sz w:val="28"/>
        </w:rPr>
        <w:t xml:space="preserve"> of </w:t>
      </w:r>
      <w:proofErr w:type="gramStart"/>
      <w:r w:rsidR="00D70DA1">
        <w:rPr>
          <w:spacing w:val="-2"/>
          <w:sz w:val="28"/>
        </w:rPr>
        <w:t>Jefferson</w:t>
      </w:r>
      <w:r>
        <w:rPr>
          <w:spacing w:val="-2"/>
          <w:sz w:val="28"/>
        </w:rPr>
        <w:t>;</w:t>
      </w:r>
      <w:proofErr w:type="gramEnd"/>
    </w:p>
    <w:p w14:paraId="02C480E8" w14:textId="77777777" w:rsidR="00FD64CA" w:rsidRDefault="003C759D">
      <w:pPr>
        <w:pStyle w:val="ListParagraph"/>
        <w:numPr>
          <w:ilvl w:val="0"/>
          <w:numId w:val="1"/>
        </w:numPr>
        <w:tabs>
          <w:tab w:val="left" w:pos="821"/>
        </w:tabs>
        <w:ind w:right="116"/>
        <w:rPr>
          <w:sz w:val="28"/>
        </w:rPr>
      </w:pPr>
      <w:r>
        <w:rPr>
          <w:sz w:val="28"/>
        </w:rPr>
        <w:t xml:space="preserve">Taxpayer has a required responsibility to allow examination of their books, papers, records, and federal and state income tax returns by the Tax </w:t>
      </w:r>
      <w:proofErr w:type="gramStart"/>
      <w:r>
        <w:rPr>
          <w:spacing w:val="-2"/>
          <w:sz w:val="28"/>
        </w:rPr>
        <w:t>Administrator;</w:t>
      </w:r>
      <w:proofErr w:type="gramEnd"/>
    </w:p>
    <w:p w14:paraId="4791E94C" w14:textId="77777777" w:rsidR="00FD64CA" w:rsidRDefault="003C759D">
      <w:pPr>
        <w:pStyle w:val="ListParagraph"/>
        <w:numPr>
          <w:ilvl w:val="0"/>
          <w:numId w:val="1"/>
        </w:numPr>
        <w:tabs>
          <w:tab w:val="left" w:pos="821"/>
        </w:tabs>
        <w:spacing w:before="1"/>
        <w:ind w:right="114"/>
        <w:rPr>
          <w:sz w:val="28"/>
        </w:rPr>
      </w:pPr>
      <w:r>
        <w:rPr>
          <w:sz w:val="28"/>
        </w:rPr>
        <w:t xml:space="preserve">At or before the commencement of an audit, the Tax Administrator shall inform and provide the taxpayer with information regarding the audit including the roles of the Tax Administrator and the taxpayer and provide a statement of the taxpayer’s </w:t>
      </w:r>
      <w:proofErr w:type="gramStart"/>
      <w:r>
        <w:rPr>
          <w:sz w:val="28"/>
        </w:rPr>
        <w:t>rights;</w:t>
      </w:r>
      <w:proofErr w:type="gramEnd"/>
    </w:p>
    <w:p w14:paraId="43AFD81C" w14:textId="77777777" w:rsidR="00FD64CA" w:rsidRDefault="003C759D">
      <w:pPr>
        <w:pStyle w:val="ListParagraph"/>
        <w:numPr>
          <w:ilvl w:val="0"/>
          <w:numId w:val="1"/>
        </w:numPr>
        <w:tabs>
          <w:tab w:val="left" w:pos="821"/>
        </w:tabs>
        <w:rPr>
          <w:sz w:val="28"/>
        </w:rPr>
      </w:pPr>
      <w:r>
        <w:rPr>
          <w:sz w:val="28"/>
        </w:rPr>
        <w:t xml:space="preserve">A taxpayer has certain recourse if aggrieved by an action or omission of the Tax Administrator, their employee, or an employee of the municipal </w:t>
      </w:r>
      <w:proofErr w:type="gramStart"/>
      <w:r>
        <w:rPr>
          <w:spacing w:val="-2"/>
          <w:sz w:val="28"/>
        </w:rPr>
        <w:t>corporation;</w:t>
      </w:r>
      <w:proofErr w:type="gramEnd"/>
    </w:p>
    <w:p w14:paraId="4C02904C" w14:textId="77777777" w:rsidR="00FD64CA" w:rsidRDefault="003C759D">
      <w:pPr>
        <w:pStyle w:val="ListParagraph"/>
        <w:numPr>
          <w:ilvl w:val="0"/>
          <w:numId w:val="1"/>
        </w:numPr>
        <w:tabs>
          <w:tab w:val="left" w:pos="821"/>
        </w:tabs>
        <w:ind w:right="113"/>
        <w:rPr>
          <w:sz w:val="28"/>
        </w:rPr>
      </w:pPr>
      <w:r>
        <w:rPr>
          <w:sz w:val="28"/>
        </w:rPr>
        <w:t>The taxpayer may request an ‘opinion of the Tax Administrator’ with respect</w:t>
      </w:r>
      <w:r>
        <w:rPr>
          <w:spacing w:val="-3"/>
          <w:sz w:val="28"/>
        </w:rPr>
        <w:t xml:space="preserve"> </w:t>
      </w:r>
      <w:r>
        <w:rPr>
          <w:sz w:val="28"/>
        </w:rPr>
        <w:t>to</w:t>
      </w:r>
      <w:r>
        <w:rPr>
          <w:spacing w:val="-2"/>
          <w:sz w:val="28"/>
        </w:rPr>
        <w:t xml:space="preserve"> </w:t>
      </w:r>
      <w:r>
        <w:rPr>
          <w:sz w:val="28"/>
        </w:rPr>
        <w:t>whether</w:t>
      </w:r>
      <w:r>
        <w:rPr>
          <w:spacing w:val="-2"/>
          <w:sz w:val="28"/>
        </w:rPr>
        <w:t xml:space="preserve"> </w:t>
      </w:r>
      <w:r>
        <w:rPr>
          <w:sz w:val="28"/>
        </w:rPr>
        <w:t>or</w:t>
      </w:r>
      <w:r>
        <w:rPr>
          <w:spacing w:val="-2"/>
          <w:sz w:val="28"/>
        </w:rPr>
        <w:t xml:space="preserve"> </w:t>
      </w:r>
      <w:r>
        <w:rPr>
          <w:sz w:val="28"/>
        </w:rPr>
        <w:t>how</w:t>
      </w:r>
      <w:r>
        <w:rPr>
          <w:spacing w:val="-1"/>
          <w:sz w:val="28"/>
        </w:rPr>
        <w:t xml:space="preserve"> </w:t>
      </w:r>
      <w:r>
        <w:rPr>
          <w:sz w:val="28"/>
        </w:rPr>
        <w:t>certain</w:t>
      </w:r>
      <w:r>
        <w:rPr>
          <w:spacing w:val="-3"/>
          <w:sz w:val="28"/>
        </w:rPr>
        <w:t xml:space="preserve"> </w:t>
      </w:r>
      <w:r>
        <w:rPr>
          <w:sz w:val="28"/>
        </w:rPr>
        <w:t>income,</w:t>
      </w:r>
      <w:r>
        <w:rPr>
          <w:spacing w:val="-3"/>
          <w:sz w:val="28"/>
        </w:rPr>
        <w:t xml:space="preserve"> </w:t>
      </w:r>
      <w:r>
        <w:rPr>
          <w:sz w:val="28"/>
        </w:rPr>
        <w:t>source</w:t>
      </w:r>
      <w:r>
        <w:rPr>
          <w:spacing w:val="-3"/>
          <w:sz w:val="28"/>
        </w:rPr>
        <w:t xml:space="preserve"> </w:t>
      </w:r>
      <w:r>
        <w:rPr>
          <w:sz w:val="28"/>
        </w:rPr>
        <w:t>of</w:t>
      </w:r>
      <w:r>
        <w:rPr>
          <w:spacing w:val="-2"/>
          <w:sz w:val="28"/>
        </w:rPr>
        <w:t xml:space="preserve"> </w:t>
      </w:r>
      <w:r>
        <w:rPr>
          <w:sz w:val="28"/>
        </w:rPr>
        <w:t>income,</w:t>
      </w:r>
      <w:r>
        <w:rPr>
          <w:spacing w:val="-3"/>
          <w:sz w:val="28"/>
        </w:rPr>
        <w:t xml:space="preserve"> </w:t>
      </w:r>
      <w:r>
        <w:rPr>
          <w:sz w:val="28"/>
        </w:rPr>
        <w:t>or</w:t>
      </w:r>
      <w:r>
        <w:rPr>
          <w:spacing w:val="-2"/>
          <w:sz w:val="28"/>
        </w:rPr>
        <w:t xml:space="preserve"> </w:t>
      </w:r>
      <w:r>
        <w:rPr>
          <w:sz w:val="28"/>
        </w:rPr>
        <w:t xml:space="preserve">transaction will be </w:t>
      </w:r>
      <w:proofErr w:type="gramStart"/>
      <w:r>
        <w:rPr>
          <w:sz w:val="28"/>
        </w:rPr>
        <w:t>taxed;</w:t>
      </w:r>
      <w:proofErr w:type="gramEnd"/>
    </w:p>
    <w:p w14:paraId="1966A38E" w14:textId="77777777" w:rsidR="00FD64CA" w:rsidRDefault="003C759D">
      <w:pPr>
        <w:pStyle w:val="ListParagraph"/>
        <w:numPr>
          <w:ilvl w:val="0"/>
          <w:numId w:val="1"/>
        </w:numPr>
        <w:tabs>
          <w:tab w:val="left" w:pos="821"/>
        </w:tabs>
        <w:ind w:right="118"/>
        <w:rPr>
          <w:sz w:val="28"/>
        </w:rPr>
      </w:pPr>
      <w:r>
        <w:rPr>
          <w:sz w:val="28"/>
        </w:rPr>
        <w:t>The taxpayer or the Tax Administrator may appeal a final determination of the local board of tax review.</w:t>
      </w:r>
    </w:p>
    <w:sectPr w:rsidR="00FD64CA">
      <w:type w:val="continuous"/>
      <w:pgSz w:w="12240" w:h="1584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5801"/>
    <w:multiLevelType w:val="hybridMultilevel"/>
    <w:tmpl w:val="E10E8A3E"/>
    <w:lvl w:ilvl="0" w:tplc="CF70B1F2">
      <w:numFmt w:val="bullet"/>
      <w:lvlText w:val=""/>
      <w:lvlJc w:val="left"/>
      <w:pPr>
        <w:ind w:left="820" w:hanging="360"/>
      </w:pPr>
      <w:rPr>
        <w:rFonts w:ascii="Symbol" w:eastAsia="Symbol" w:hAnsi="Symbol" w:cs="Symbol" w:hint="default"/>
        <w:b w:val="0"/>
        <w:bCs w:val="0"/>
        <w:i w:val="0"/>
        <w:iCs w:val="0"/>
        <w:w w:val="100"/>
        <w:sz w:val="28"/>
        <w:szCs w:val="28"/>
        <w:lang w:val="en-US" w:eastAsia="en-US" w:bidi="ar-SA"/>
      </w:rPr>
    </w:lvl>
    <w:lvl w:ilvl="1" w:tplc="0DA6161E">
      <w:numFmt w:val="bullet"/>
      <w:lvlText w:val="•"/>
      <w:lvlJc w:val="left"/>
      <w:pPr>
        <w:ind w:left="1696" w:hanging="360"/>
      </w:pPr>
      <w:rPr>
        <w:rFonts w:hint="default"/>
        <w:lang w:val="en-US" w:eastAsia="en-US" w:bidi="ar-SA"/>
      </w:rPr>
    </w:lvl>
    <w:lvl w:ilvl="2" w:tplc="DD12A924">
      <w:numFmt w:val="bullet"/>
      <w:lvlText w:val="•"/>
      <w:lvlJc w:val="left"/>
      <w:pPr>
        <w:ind w:left="2572" w:hanging="360"/>
      </w:pPr>
      <w:rPr>
        <w:rFonts w:hint="default"/>
        <w:lang w:val="en-US" w:eastAsia="en-US" w:bidi="ar-SA"/>
      </w:rPr>
    </w:lvl>
    <w:lvl w:ilvl="3" w:tplc="6EA2BA3E">
      <w:numFmt w:val="bullet"/>
      <w:lvlText w:val="•"/>
      <w:lvlJc w:val="left"/>
      <w:pPr>
        <w:ind w:left="3448" w:hanging="360"/>
      </w:pPr>
      <w:rPr>
        <w:rFonts w:hint="default"/>
        <w:lang w:val="en-US" w:eastAsia="en-US" w:bidi="ar-SA"/>
      </w:rPr>
    </w:lvl>
    <w:lvl w:ilvl="4" w:tplc="7D0EE900">
      <w:numFmt w:val="bullet"/>
      <w:lvlText w:val="•"/>
      <w:lvlJc w:val="left"/>
      <w:pPr>
        <w:ind w:left="4324" w:hanging="360"/>
      </w:pPr>
      <w:rPr>
        <w:rFonts w:hint="default"/>
        <w:lang w:val="en-US" w:eastAsia="en-US" w:bidi="ar-SA"/>
      </w:rPr>
    </w:lvl>
    <w:lvl w:ilvl="5" w:tplc="50844D8E">
      <w:numFmt w:val="bullet"/>
      <w:lvlText w:val="•"/>
      <w:lvlJc w:val="left"/>
      <w:pPr>
        <w:ind w:left="5200" w:hanging="360"/>
      </w:pPr>
      <w:rPr>
        <w:rFonts w:hint="default"/>
        <w:lang w:val="en-US" w:eastAsia="en-US" w:bidi="ar-SA"/>
      </w:rPr>
    </w:lvl>
    <w:lvl w:ilvl="6" w:tplc="D2D250A2">
      <w:numFmt w:val="bullet"/>
      <w:lvlText w:val="•"/>
      <w:lvlJc w:val="left"/>
      <w:pPr>
        <w:ind w:left="6076" w:hanging="360"/>
      </w:pPr>
      <w:rPr>
        <w:rFonts w:hint="default"/>
        <w:lang w:val="en-US" w:eastAsia="en-US" w:bidi="ar-SA"/>
      </w:rPr>
    </w:lvl>
    <w:lvl w:ilvl="7" w:tplc="E090B978">
      <w:numFmt w:val="bullet"/>
      <w:lvlText w:val="•"/>
      <w:lvlJc w:val="left"/>
      <w:pPr>
        <w:ind w:left="6952" w:hanging="360"/>
      </w:pPr>
      <w:rPr>
        <w:rFonts w:hint="default"/>
        <w:lang w:val="en-US" w:eastAsia="en-US" w:bidi="ar-SA"/>
      </w:rPr>
    </w:lvl>
    <w:lvl w:ilvl="8" w:tplc="E6A4A70E">
      <w:numFmt w:val="bullet"/>
      <w:lvlText w:val="•"/>
      <w:lvlJc w:val="left"/>
      <w:pPr>
        <w:ind w:left="7828" w:hanging="360"/>
      </w:pPr>
      <w:rPr>
        <w:rFonts w:hint="default"/>
        <w:lang w:val="en-US" w:eastAsia="en-US" w:bidi="ar-SA"/>
      </w:rPr>
    </w:lvl>
  </w:abstractNum>
  <w:num w:numId="1" w16cid:durableId="30331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D64CA"/>
    <w:rsid w:val="003C759D"/>
    <w:rsid w:val="008614FB"/>
    <w:rsid w:val="008F0AB5"/>
    <w:rsid w:val="00D70DA1"/>
    <w:rsid w:val="00FD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88E9"/>
  <w15:docId w15:val="{BDFF4C8A-A351-4CAD-81F5-AB675BA5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right="118" w:hanging="360"/>
      <w:jc w:val="both"/>
    </w:pPr>
    <w:rPr>
      <w:sz w:val="28"/>
      <w:szCs w:val="28"/>
    </w:rPr>
  </w:style>
  <w:style w:type="paragraph" w:styleId="Title">
    <w:name w:val="Title"/>
    <w:basedOn w:val="Normal"/>
    <w:uiPriority w:val="10"/>
    <w:qFormat/>
    <w:pPr>
      <w:spacing w:before="20"/>
      <w:ind w:left="2205" w:right="1658" w:firstLine="52"/>
    </w:pPr>
    <w:rPr>
      <w:b/>
      <w:bCs/>
      <w:sz w:val="32"/>
      <w:szCs w:val="32"/>
    </w:rPr>
  </w:style>
  <w:style w:type="paragraph" w:styleId="ListParagraph">
    <w:name w:val="List Paragraph"/>
    <w:basedOn w:val="Normal"/>
    <w:uiPriority w:val="1"/>
    <w:qFormat/>
    <w:pPr>
      <w:ind w:left="820" w:right="117"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Merker, Linda</dc:creator>
  <cp:lastModifiedBy>Tax</cp:lastModifiedBy>
  <cp:revision>2</cp:revision>
  <dcterms:created xsi:type="dcterms:W3CDTF">2023-02-22T19:46:00Z</dcterms:created>
  <dcterms:modified xsi:type="dcterms:W3CDTF">2023-02-22T20:07:00Z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2017-01-04T00:00:00Z</vt:filetime>
  </property>
  <property fmtid="{D5CDD505-2E9C-101B-9397-08002B2CF9AE}" pid="3" name="Creator">
    <vt:lpwstr>Microsoft® Word 2010</vt:lpwstr>
  </property>
  <property fmtid="{D5CDD505-2E9C-101B-9397-08002B2CF9AE}" pid="4" name="LastSaved">
    <vt:filetime>2023-02-22T00:00:00Z</vt:filetime>
  </property>
  <property fmtid="{D5CDD505-2E9C-101B-9397-08002B2CF9AE}" pid="5" name="Producer">
    <vt:lpwstr>Microsoft® Word 2010</vt:lpwstr>
  </property>
</Properties>
</file>